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DC20D2">
      <w:pPr>
        <w:pStyle w:val="Sub-block"/>
        <w:spacing w:before="120" w:after="0" w:line="360" w:lineRule="auto"/>
        <w:ind w:left="0" w:firstLine="72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2C138E">
        <w:rPr>
          <w:rFonts w:cs="Tahoma"/>
          <w:sz w:val="20"/>
          <w:szCs w:val="20"/>
          <w:u w:val="single"/>
        </w:rPr>
        <w:t>Risk Mana</w:t>
      </w:r>
      <w:r w:rsidR="006C5AD8">
        <w:rPr>
          <w:rFonts w:cs="Tahoma"/>
          <w:sz w:val="20"/>
          <w:szCs w:val="20"/>
          <w:u w:val="single"/>
        </w:rPr>
        <w:t>gement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        </w:t>
      </w:r>
      <w:r w:rsidRPr="005135A1">
        <w:rPr>
          <w:rFonts w:cs="Tahoma"/>
          <w:sz w:val="20"/>
          <w:szCs w:val="20"/>
        </w:rPr>
        <w:tab/>
        <w:t xml:space="preserve">Update on </w:t>
      </w:r>
      <w:r w:rsidR="005A5CEC">
        <w:rPr>
          <w:rFonts w:cs="Tahoma"/>
          <w:sz w:val="20"/>
          <w:szCs w:val="20"/>
        </w:rPr>
        <w:t xml:space="preserve">Risk Management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49117F" w:rsidRPr="005135A1">
        <w:rPr>
          <w:rFonts w:cs="Tahoma"/>
          <w:sz w:val="20"/>
          <w:szCs w:val="20"/>
          <w:cs/>
          <w:lang w:bidi="th-TH"/>
        </w:rPr>
        <w:t>1.</w:t>
      </w:r>
      <w:r w:rsidR="006C5AD8">
        <w:rPr>
          <w:rFonts w:cs="Tahoma"/>
          <w:sz w:val="20"/>
          <w:szCs w:val="20"/>
          <w:lang w:bidi="th-TH"/>
        </w:rPr>
        <w:t>1</w:t>
      </w:r>
    </w:p>
    <w:p w:rsidR="007975E5" w:rsidRPr="00DC20D2" w:rsidRDefault="00454EA0" w:rsidP="00DC20D2">
      <w:pPr>
        <w:pStyle w:val="Sub-block"/>
        <w:spacing w:before="0" w:after="240" w:line="360" w:lineRule="auto"/>
        <w:ind w:left="0" w:firstLine="72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6C5AD8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.0 to version </w:t>
      </w:r>
      <w:r w:rsidR="00BE13E6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>.</w:t>
      </w:r>
      <w:r w:rsidR="006C5AD8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are in </w:t>
      </w:r>
      <w:r w:rsidR="00BE13E6" w:rsidRPr="009209A5">
        <w:rPr>
          <w:rFonts w:cs="Tahoma"/>
          <w:color w:val="0000FF"/>
          <w:sz w:val="20"/>
          <w:szCs w:val="20"/>
        </w:rPr>
        <w:t>blue font.</w:t>
      </w:r>
      <w:r w:rsidR="00BE13E6" w:rsidRPr="009209A5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6C5AD8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44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C5AD8" w:rsidRPr="006C5AD8" w:rsidTr="00B23E3B">
        <w:tc>
          <w:tcPr>
            <w:tcW w:w="1021" w:type="dxa"/>
            <w:vMerge w:val="restart"/>
            <w:shd w:val="clear" w:color="auto" w:fill="auto"/>
          </w:tcPr>
          <w:p w:rsidR="006C5AD8" w:rsidRPr="006C5AD8" w:rsidRDefault="006C5AD8" w:rsidP="006C5AD8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5AD8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712" w:type="dxa"/>
            <w:shd w:val="clear" w:color="auto" w:fill="auto"/>
          </w:tcPr>
          <w:p w:rsidR="006C5AD8" w:rsidRPr="006C5AD8" w:rsidRDefault="006C5AD8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5AD8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3" w:type="dxa"/>
            <w:shd w:val="clear" w:color="auto" w:fill="auto"/>
          </w:tcPr>
          <w:p w:rsidR="006C5AD8" w:rsidRPr="006C5AD8" w:rsidRDefault="006C5AD8" w:rsidP="00726B1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 w:themeColor="text1"/>
              </w:rPr>
              <w:t>CVA Counterparty Type</w:t>
            </w:r>
          </w:p>
        </w:tc>
        <w:tc>
          <w:tcPr>
            <w:tcW w:w="1682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/>
                <w:lang w:bidi="th-TH"/>
              </w:rPr>
            </w:pPr>
            <w:r w:rsidRPr="006C5AD8">
              <w:rPr>
                <w:rFonts w:cs="Tahoma"/>
                <w:color w:val="0000FF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6C5AD8" w:rsidRDefault="006C5AD8" w:rsidP="006C5AD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/>
              </w:rPr>
              <w:t xml:space="preserve">Add new </w:t>
            </w:r>
            <w:r w:rsidRPr="006C5AD8">
              <w:rPr>
                <w:rFonts w:cs="Tahoma"/>
                <w:lang w:bidi="th-TH"/>
              </w:rPr>
              <w:t>Classification</w:t>
            </w:r>
            <w:bookmarkStart w:id="0" w:name="_GoBack"/>
            <w:bookmarkEnd w:id="0"/>
          </w:p>
          <w:p w:rsidR="006C5AD8" w:rsidRPr="006C5AD8" w:rsidRDefault="006C5AD8" w:rsidP="005A5CEC">
            <w:pPr>
              <w:pStyle w:val="TableText"/>
              <w:numPr>
                <w:ilvl w:val="0"/>
                <w:numId w:val="12"/>
              </w:numPr>
              <w:spacing w:line="360" w:lineRule="auto"/>
              <w:ind w:left="403"/>
              <w:rPr>
                <w:rFonts w:cs="Tahoma"/>
              </w:rPr>
            </w:pPr>
            <w:r w:rsidRPr="006C5AD8">
              <w:rPr>
                <w:rFonts w:cs="Tahoma"/>
                <w:color w:val="0000FF"/>
              </w:rPr>
              <w:t>CVA Counterparty Type</w:t>
            </w:r>
          </w:p>
        </w:tc>
      </w:tr>
      <w:tr w:rsidR="006C5AD8" w:rsidRPr="006C5AD8" w:rsidTr="00B23E3B">
        <w:tc>
          <w:tcPr>
            <w:tcW w:w="1021" w:type="dxa"/>
            <w:vMerge/>
            <w:shd w:val="clear" w:color="auto" w:fill="auto"/>
          </w:tcPr>
          <w:p w:rsidR="006C5AD8" w:rsidRPr="006C5AD8" w:rsidRDefault="006C5AD8" w:rsidP="006C5AD8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6C5AD8" w:rsidRPr="006C5AD8" w:rsidRDefault="006C5AD8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5AD8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Greek Type</w:t>
            </w:r>
          </w:p>
        </w:tc>
        <w:tc>
          <w:tcPr>
            <w:tcW w:w="1682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/>
              </w:rPr>
            </w:pPr>
            <w:r w:rsidRPr="006C5AD8">
              <w:rPr>
                <w:rFonts w:cs="Tahoma"/>
                <w:color w:val="0000FF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6C5AD8" w:rsidRDefault="006C5AD8" w:rsidP="006C5AD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/>
              </w:rPr>
              <w:t xml:space="preserve">Add new </w:t>
            </w:r>
            <w:r w:rsidRPr="006C5AD8">
              <w:rPr>
                <w:rFonts w:cs="Tahoma"/>
                <w:lang w:bidi="th-TH"/>
              </w:rPr>
              <w:t>Classification</w:t>
            </w:r>
          </w:p>
          <w:p w:rsidR="006C5AD8" w:rsidRPr="006C5AD8" w:rsidRDefault="006C5AD8" w:rsidP="005A5CEC">
            <w:pPr>
              <w:pStyle w:val="TableText"/>
              <w:numPr>
                <w:ilvl w:val="0"/>
                <w:numId w:val="12"/>
              </w:numPr>
              <w:spacing w:line="360" w:lineRule="auto"/>
              <w:ind w:left="409"/>
              <w:rPr>
                <w:rFonts w:cs="Tahoma"/>
                <w:color w:val="000000"/>
              </w:rPr>
            </w:pPr>
            <w:r w:rsidRPr="006C5AD8">
              <w:rPr>
                <w:rFonts w:cs="Tahoma"/>
                <w:color w:val="0000FF"/>
              </w:rPr>
              <w:t>Greek Type</w:t>
            </w:r>
          </w:p>
        </w:tc>
      </w:tr>
      <w:tr w:rsidR="006C5AD8" w:rsidRPr="006C5AD8" w:rsidTr="00B23E3B">
        <w:tc>
          <w:tcPr>
            <w:tcW w:w="1021" w:type="dxa"/>
            <w:vMerge/>
            <w:shd w:val="clear" w:color="auto" w:fill="auto"/>
          </w:tcPr>
          <w:p w:rsidR="006C5AD8" w:rsidRPr="006C5AD8" w:rsidRDefault="006C5AD8" w:rsidP="006C5AD8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6C5AD8" w:rsidRPr="006C5AD8" w:rsidRDefault="006C5AD8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3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  <w:color w:val="000000"/>
              </w:rPr>
              <w:t>IR Curve</w:t>
            </w:r>
          </w:p>
        </w:tc>
        <w:tc>
          <w:tcPr>
            <w:tcW w:w="1682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/>
              </w:rPr>
            </w:pPr>
            <w:r w:rsidRPr="006C5AD8">
              <w:rPr>
                <w:rFonts w:cs="Tahoma"/>
                <w:color w:val="0000FF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6C5AD8" w:rsidRDefault="006C5AD8" w:rsidP="006C5AD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/>
              </w:rPr>
              <w:t xml:space="preserve">Add new </w:t>
            </w:r>
            <w:r w:rsidRPr="006C5AD8">
              <w:rPr>
                <w:rFonts w:cs="Tahoma"/>
                <w:lang w:bidi="th-TH"/>
              </w:rPr>
              <w:t>Classification</w:t>
            </w:r>
          </w:p>
          <w:p w:rsidR="006C5AD8" w:rsidRPr="006C5AD8" w:rsidRDefault="001B4524" w:rsidP="005A5CEC">
            <w:pPr>
              <w:pStyle w:val="TableText"/>
              <w:numPr>
                <w:ilvl w:val="0"/>
                <w:numId w:val="13"/>
              </w:numPr>
              <w:spacing w:line="360" w:lineRule="auto"/>
              <w:ind w:left="409"/>
              <w:rPr>
                <w:rFonts w:cs="Tahoma"/>
                <w:color w:val="000000"/>
              </w:rPr>
            </w:pPr>
            <w:r w:rsidRPr="001B4524">
              <w:rPr>
                <w:rFonts w:cs="Tahoma"/>
                <w:color w:val="0000FF"/>
              </w:rPr>
              <w:t>IR Curve</w:t>
            </w:r>
          </w:p>
        </w:tc>
      </w:tr>
      <w:tr w:rsidR="006C5AD8" w:rsidRPr="006C5AD8" w:rsidTr="00B23E3B">
        <w:tc>
          <w:tcPr>
            <w:tcW w:w="1021" w:type="dxa"/>
            <w:vMerge/>
            <w:shd w:val="clear" w:color="auto" w:fill="auto"/>
          </w:tcPr>
          <w:p w:rsidR="006C5AD8" w:rsidRPr="006C5AD8" w:rsidRDefault="006C5AD8" w:rsidP="006C5AD8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6C5AD8" w:rsidRPr="006C5AD8" w:rsidRDefault="006C5AD8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3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rPr>
                <w:rFonts w:cs="Tahoma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/>
                <w:lang w:bidi="th-TH"/>
              </w:rPr>
            </w:pPr>
            <w:r w:rsidRPr="006C5AD8">
              <w:rPr>
                <w:rFonts w:cs="Tahoma"/>
                <w:color w:val="0000FF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6C5AD8" w:rsidRDefault="006C5AD8" w:rsidP="006C5AD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/>
              </w:rPr>
              <w:t xml:space="preserve">Add new </w:t>
            </w:r>
            <w:r w:rsidRPr="006C5AD8">
              <w:rPr>
                <w:rFonts w:cs="Tahoma"/>
                <w:lang w:bidi="th-TH"/>
              </w:rPr>
              <w:t>Classification</w:t>
            </w:r>
          </w:p>
          <w:p w:rsidR="001B4524" w:rsidRPr="001B4524" w:rsidRDefault="001B4524" w:rsidP="005A5CEC">
            <w:pPr>
              <w:pStyle w:val="TableText"/>
              <w:numPr>
                <w:ilvl w:val="0"/>
                <w:numId w:val="13"/>
              </w:numPr>
              <w:spacing w:line="360" w:lineRule="auto"/>
              <w:ind w:left="409"/>
              <w:rPr>
                <w:rFonts w:cs="Tahoma"/>
              </w:rPr>
            </w:pPr>
            <w:r w:rsidRPr="001B4524">
              <w:rPr>
                <w:rFonts w:cs="Tahoma"/>
                <w:color w:val="0000FF"/>
              </w:rPr>
              <w:t>Market Risk Factor Type</w:t>
            </w:r>
          </w:p>
        </w:tc>
      </w:tr>
      <w:tr w:rsidR="006C5AD8" w:rsidRPr="006C5AD8" w:rsidTr="00B23E3B">
        <w:tc>
          <w:tcPr>
            <w:tcW w:w="1021" w:type="dxa"/>
            <w:vMerge/>
            <w:shd w:val="clear" w:color="auto" w:fill="auto"/>
          </w:tcPr>
          <w:p w:rsidR="006C5AD8" w:rsidRPr="006C5AD8" w:rsidRDefault="006C5AD8" w:rsidP="006C5AD8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6C5AD8" w:rsidRPr="006C5AD8" w:rsidRDefault="006C5AD8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rPr>
                <w:rFonts w:cs="Tahoma"/>
              </w:rPr>
            </w:pPr>
            <w:r w:rsidRPr="006C5AD8">
              <w:rPr>
                <w:rFonts w:cs="Tahoma"/>
              </w:rPr>
              <w:t>Risk Value Type</w:t>
            </w:r>
          </w:p>
        </w:tc>
        <w:tc>
          <w:tcPr>
            <w:tcW w:w="1682" w:type="dxa"/>
            <w:shd w:val="clear" w:color="auto" w:fill="auto"/>
          </w:tcPr>
          <w:p w:rsidR="006C5AD8" w:rsidRPr="006C5AD8" w:rsidRDefault="006C5AD8" w:rsidP="006C5AD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/>
              </w:rPr>
            </w:pPr>
            <w:r w:rsidRPr="006C5AD8">
              <w:rPr>
                <w:rFonts w:cs="Tahoma"/>
                <w:color w:val="0000FF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6C5AD8" w:rsidRDefault="006C5AD8" w:rsidP="006C5AD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/>
              </w:rPr>
              <w:t xml:space="preserve">Add new </w:t>
            </w:r>
            <w:r w:rsidRPr="006C5AD8">
              <w:rPr>
                <w:rFonts w:cs="Tahoma"/>
                <w:lang w:bidi="th-TH"/>
              </w:rPr>
              <w:t>Classification</w:t>
            </w:r>
          </w:p>
          <w:p w:rsidR="001B4524" w:rsidRPr="001B4524" w:rsidRDefault="001B4524" w:rsidP="005A5CEC">
            <w:pPr>
              <w:pStyle w:val="TableText"/>
              <w:numPr>
                <w:ilvl w:val="0"/>
                <w:numId w:val="13"/>
              </w:numPr>
              <w:spacing w:line="360" w:lineRule="auto"/>
              <w:ind w:left="409"/>
              <w:rPr>
                <w:rFonts w:cs="Tahoma"/>
                <w:color w:val="000000"/>
              </w:rPr>
            </w:pPr>
            <w:r w:rsidRPr="001B4524">
              <w:rPr>
                <w:rFonts w:cs="Tahoma"/>
                <w:color w:val="0000FF"/>
              </w:rPr>
              <w:t>Risk Value Type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6C5AD8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6C5AD8" w:rsidRDefault="009016F6" w:rsidP="006C5AD8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6C5AD8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9016F6">
              <w:rPr>
                <w:rFonts w:cs="Tahoma"/>
              </w:rPr>
              <w:t>NPL (Gross)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6C5AD8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9016F6">
              <w:rPr>
                <w:rFonts w:cs="Tahoma"/>
                <w:color w:val="000000"/>
                <w:u w:val="single"/>
              </w:rPr>
              <w:t>Description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cs/>
                <w:lang w:bidi="th-TH"/>
              </w:rPr>
              <w:t xml:space="preserve">เป้าหมาย </w:t>
            </w:r>
            <w:r w:rsidRPr="009016F6">
              <w:rPr>
                <w:rFonts w:cs="Tahoma"/>
                <w:color w:val="000000"/>
              </w:rPr>
              <w:t>NPL (Gross)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To “</w:t>
            </w:r>
            <w:r w:rsidRPr="009016F6">
              <w:rPr>
                <w:rFonts w:cs="Tahoma"/>
                <w:color w:val="0000FF"/>
                <w:cs/>
                <w:lang w:bidi="th-TH"/>
              </w:rPr>
              <w:t>สินเชื่อที่ไม่ก่อให้เกิดรายได้ก่อนหักเงินสำรองค่าเผื่อหนี้สงสัยจะสูญ (</w:t>
            </w:r>
            <w:r w:rsidRPr="009016F6">
              <w:rPr>
                <w:rFonts w:cs="Tahoma"/>
                <w:color w:val="0000FF"/>
              </w:rPr>
              <w:t>Gross Non-performing Loans)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6C5AD8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6C5AD8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NPL (Net)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9016F6">
              <w:rPr>
                <w:rFonts w:cs="Tahoma"/>
                <w:color w:val="000000"/>
                <w:u w:val="single"/>
              </w:rPr>
              <w:t>Description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cs/>
                <w:lang w:bidi="th-TH"/>
              </w:rPr>
              <w:t xml:space="preserve">เป้าหมาย </w:t>
            </w:r>
            <w:r w:rsidRPr="009016F6">
              <w:rPr>
                <w:rFonts w:cs="Tahoma"/>
                <w:color w:val="000000"/>
                <w:lang w:bidi="th-TH"/>
              </w:rPr>
              <w:t>NPL (Net)</w:t>
            </w:r>
            <w:r>
              <w:rPr>
                <w:rFonts w:cs="Tahoma"/>
                <w:color w:val="000000"/>
                <w:lang w:bidi="th-TH"/>
              </w:rPr>
              <w:t>”</w:t>
            </w:r>
          </w:p>
          <w:p w:rsidR="009016F6" w:rsidRP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  <w:u w:val="single"/>
              </w:rPr>
            </w:pPr>
            <w:r>
              <w:rPr>
                <w:rFonts w:cs="Tahoma"/>
                <w:color w:val="000000"/>
              </w:rPr>
              <w:t>To “</w:t>
            </w:r>
            <w:r w:rsidRPr="009016F6">
              <w:rPr>
                <w:rFonts w:cs="Tahoma"/>
                <w:color w:val="0000FF"/>
                <w:cs/>
                <w:lang w:bidi="th-TH"/>
              </w:rPr>
              <w:t>สินเชื่อที่ไม่ก่อให้เกิดรายได้หลังหักเงินสำรองค่าเผื่อหนี้สงสัยจะสูญ (</w:t>
            </w:r>
            <w:r w:rsidRPr="009016F6">
              <w:rPr>
                <w:rFonts w:cs="Tahoma"/>
                <w:color w:val="0000FF"/>
              </w:rPr>
              <w:t>Net Non-performing Loans)</w:t>
            </w:r>
            <w:r w:rsidRPr="009016F6">
              <w:rPr>
                <w:rFonts w:cs="Tahoma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6C5AD8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6C5AD8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NIM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9016F6">
              <w:rPr>
                <w:rFonts w:cs="Tahoma"/>
                <w:color w:val="000000"/>
                <w:u w:val="single"/>
              </w:rPr>
              <w:t>Description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Pr="009016F6">
              <w:rPr>
                <w:rFonts w:cs="Tahoma"/>
                <w:color w:val="000000"/>
              </w:rPr>
              <w:t>NIM (%)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/>
                <w:color w:val="000000"/>
              </w:rPr>
              <w:t>To “</w:t>
            </w:r>
            <w:r w:rsidR="00E31DD8" w:rsidRPr="00E31DD8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="00E31DD8" w:rsidRPr="000152E3">
              <w:rPr>
                <w:rFonts w:cs="Tahoma"/>
                <w:color w:val="0000FF"/>
              </w:rPr>
              <w:t xml:space="preserve">Net Interest Margin </w:t>
            </w:r>
            <w:r w:rsidR="00E31DD8" w:rsidRPr="00E31DD8">
              <w:rPr>
                <w:rFonts w:cs="Tahoma"/>
                <w:color w:val="000000"/>
              </w:rPr>
              <w:t>(%)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ROA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9016F6">
              <w:rPr>
                <w:rFonts w:cs="Tahoma"/>
                <w:color w:val="000000"/>
                <w:u w:val="single"/>
              </w:rPr>
              <w:t>Description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Pr="009016F6">
              <w:rPr>
                <w:rFonts w:cs="Tahoma"/>
                <w:color w:val="000000"/>
              </w:rPr>
              <w:t>ROA (%)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0152E3">
            <w:pPr>
              <w:pStyle w:val="TableText"/>
              <w:spacing w:line="360" w:lineRule="auto"/>
              <w:rPr>
                <w:rFonts w:cs="Tahoma"/>
                <w:color w:val="000000"/>
                <w:u w:val="single"/>
              </w:rPr>
            </w:pPr>
            <w:r>
              <w:rPr>
                <w:rFonts w:cs="Tahoma"/>
                <w:color w:val="000000"/>
              </w:rPr>
              <w:t>To “</w:t>
            </w:r>
            <w:r w:rsidR="000152E3" w:rsidRPr="000152E3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="000152E3" w:rsidRPr="000152E3">
              <w:rPr>
                <w:rFonts w:cs="Tahoma"/>
                <w:color w:val="0000FF"/>
              </w:rPr>
              <w:t xml:space="preserve">Return on Asset </w:t>
            </w:r>
            <w:r w:rsidR="000152E3" w:rsidRPr="000152E3">
              <w:rPr>
                <w:rFonts w:cs="Tahoma"/>
                <w:color w:val="000000"/>
              </w:rPr>
              <w:t>(%)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RORWA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9016F6">
              <w:rPr>
                <w:rFonts w:cs="Tahoma"/>
                <w:color w:val="000000"/>
                <w:u w:val="single"/>
              </w:rPr>
              <w:t>Description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Pr="009016F6">
              <w:rPr>
                <w:rFonts w:cs="Tahoma"/>
                <w:color w:val="000000"/>
              </w:rPr>
              <w:t>RORWA (%)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0152E3">
            <w:pPr>
              <w:pStyle w:val="TableText"/>
              <w:spacing w:line="360" w:lineRule="auto"/>
              <w:rPr>
                <w:rFonts w:cs="Tahoma"/>
                <w:color w:val="000000"/>
                <w:u w:val="single"/>
              </w:rPr>
            </w:pPr>
            <w:r>
              <w:rPr>
                <w:rFonts w:cs="Tahoma"/>
                <w:color w:val="000000"/>
              </w:rPr>
              <w:t>To “</w:t>
            </w:r>
            <w:r w:rsidR="000152E3" w:rsidRPr="000152E3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="000152E3" w:rsidRPr="000152E3">
              <w:rPr>
                <w:rFonts w:cs="Tahoma"/>
                <w:color w:val="0000FF"/>
              </w:rPr>
              <w:t xml:space="preserve">Return on Risk Weighted Asset </w:t>
            </w:r>
            <w:r w:rsidR="000152E3" w:rsidRPr="000152E3">
              <w:rPr>
                <w:rFonts w:cs="Tahoma"/>
                <w:color w:val="000000"/>
              </w:rPr>
              <w:t>(%)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ROE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9016F6">
              <w:rPr>
                <w:rFonts w:cs="Tahoma"/>
                <w:color w:val="000000"/>
                <w:u w:val="single"/>
              </w:rPr>
              <w:t>Description</w:t>
            </w:r>
          </w:p>
          <w:p w:rsidR="009016F6" w:rsidRDefault="009016F6" w:rsidP="00C35D6C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C35D6C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Pr="009016F6">
              <w:rPr>
                <w:rFonts w:cs="Tahoma"/>
                <w:color w:val="000000"/>
              </w:rPr>
              <w:t>ROE (%)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C35D6C">
            <w:pPr>
              <w:pStyle w:val="TableText"/>
              <w:spacing w:line="360" w:lineRule="auto"/>
              <w:rPr>
                <w:rFonts w:cs="Tahoma"/>
                <w:color w:val="000000"/>
                <w:u w:val="single"/>
              </w:rPr>
            </w:pPr>
            <w:r>
              <w:rPr>
                <w:rFonts w:cs="Tahoma"/>
                <w:color w:val="000000"/>
              </w:rPr>
              <w:t>To “</w:t>
            </w:r>
            <w:r w:rsidR="000152E3" w:rsidRPr="000152E3">
              <w:rPr>
                <w:rFonts w:cs="Tahoma"/>
                <w:color w:val="000000"/>
                <w:cs/>
                <w:lang w:bidi="th-TH"/>
              </w:rPr>
              <w:t xml:space="preserve">เป้าหมายอัตราส่วน </w:t>
            </w:r>
            <w:r w:rsidR="000152E3" w:rsidRPr="000152E3">
              <w:rPr>
                <w:rFonts w:cs="Tahoma"/>
                <w:color w:val="0000FF"/>
              </w:rPr>
              <w:t>Return on Equity</w:t>
            </w:r>
            <w:r w:rsidR="000152E3" w:rsidRPr="000152E3">
              <w:rPr>
                <w:rFonts w:cs="Tahoma"/>
                <w:color w:val="000000"/>
              </w:rPr>
              <w:t xml:space="preserve"> (%)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BIS Ratio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9016F6">
              <w:rPr>
                <w:rFonts w:cs="Tahoma"/>
                <w:color w:val="000000"/>
                <w:u w:val="single"/>
              </w:rPr>
              <w:t>Description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cs/>
                <w:lang w:bidi="th-TH"/>
              </w:rPr>
              <w:t>เป้าหมายอัตราส่วนเงินกองทุนต่อสินทรัพย์เสี่ยง (%)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0152E3">
            <w:pPr>
              <w:pStyle w:val="TableText"/>
              <w:spacing w:line="360" w:lineRule="auto"/>
              <w:rPr>
                <w:rFonts w:cs="Tahoma"/>
                <w:color w:val="000000"/>
                <w:u w:val="single"/>
              </w:rPr>
            </w:pPr>
            <w:r>
              <w:rPr>
                <w:rFonts w:cs="Tahoma"/>
                <w:color w:val="000000"/>
              </w:rPr>
              <w:t>To “</w:t>
            </w:r>
            <w:r w:rsidR="000152E3" w:rsidRPr="000152E3">
              <w:rPr>
                <w:rFonts w:cs="Tahoma"/>
                <w:color w:val="000000"/>
                <w:cs/>
                <w:lang w:bidi="th-TH"/>
              </w:rPr>
              <w:t>เป้าหมายอัตราส่วนเงินกองทุนต่อสินทรัพย์เสี่ยง</w:t>
            </w:r>
            <w:r w:rsidR="000152E3" w:rsidRPr="000152E3">
              <w:rPr>
                <w:rFonts w:cs="Tahoma"/>
                <w:color w:val="0000FF"/>
                <w:cs/>
                <w:lang w:bidi="th-TH"/>
              </w:rPr>
              <w:t xml:space="preserve">ก่อนหักเงินกองทุนส่วนเพิ่มเพื่อรองรับการให้สินเชื่อแก่ลูกหนี้รายใหญ่ </w:t>
            </w:r>
            <w:r w:rsidR="000152E3" w:rsidRPr="000152E3">
              <w:rPr>
                <w:rFonts w:cs="Tahoma"/>
                <w:color w:val="000000"/>
                <w:cs/>
                <w:lang w:bidi="th-TH"/>
              </w:rPr>
              <w:t>(%)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016F6">
              <w:rPr>
                <w:rFonts w:cs="Tahoma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  <w:lang w:bidi="th-TH"/>
              </w:rPr>
            </w:pPr>
            <w:r>
              <w:rPr>
                <w:rFonts w:cs="Tahoma" w:hint="cs"/>
                <w:color w:val="000000"/>
                <w:u w:val="single"/>
                <w:cs/>
                <w:lang w:bidi="th-TH"/>
              </w:rPr>
              <w:t>หมายเหตุ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vertAlign w:val="superscript"/>
              </w:rPr>
              <w:t>1/</w:t>
            </w:r>
            <w:r w:rsidRPr="009016F6">
              <w:rPr>
                <w:rFonts w:cs="Tahoma"/>
                <w:color w:val="000000"/>
              </w:rPr>
              <w:t xml:space="preserve"> Interbank </w:t>
            </w:r>
            <w:r w:rsidRPr="009016F6">
              <w:rPr>
                <w:rFonts w:cs="Tahoma"/>
                <w:color w:val="000000"/>
                <w:cs/>
                <w:lang w:bidi="th-TH"/>
              </w:rPr>
              <w:t>หมายถึง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</w:t>
            </w:r>
            <w:r w:rsidRPr="009016F6">
              <w:rPr>
                <w:rFonts w:cs="Tahoma"/>
                <w:color w:val="000000"/>
                <w:cs/>
                <w:lang w:bidi="th-TH"/>
              </w:rPr>
              <w:t>ธนาคารพาณิชย์จดทะเบียนในประเทศไทย สาขาธนาคารพาณิชย์ต่างประเทศ บริษัทลูกของธนาคารพาณิชย์ต่างประเทศ บริษัทเงินทุน บริษัทเครดิตฟองซิเอร์ และสถาบันการเงินเฉพาะกิจ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0152E3">
            <w:pPr>
              <w:pStyle w:val="TableText"/>
              <w:spacing w:line="360" w:lineRule="auto"/>
              <w:rPr>
                <w:rFonts w:cs="Tahoma"/>
                <w:color w:val="000000"/>
                <w:u w:val="single"/>
              </w:rPr>
            </w:pPr>
            <w:r>
              <w:rPr>
                <w:rFonts w:cs="Tahoma"/>
                <w:color w:val="000000"/>
              </w:rPr>
              <w:t>To “</w:t>
            </w:r>
            <w:r w:rsidR="000152E3" w:rsidRPr="000152E3">
              <w:rPr>
                <w:rFonts w:cs="Tahoma"/>
                <w:color w:val="000000"/>
                <w:vertAlign w:val="superscript"/>
              </w:rPr>
              <w:t>1/</w:t>
            </w:r>
            <w:r w:rsidR="000152E3" w:rsidRPr="000152E3">
              <w:rPr>
                <w:rFonts w:cs="Tahoma"/>
                <w:color w:val="000000"/>
              </w:rPr>
              <w:t xml:space="preserve"> Interbank </w:t>
            </w:r>
            <w:r w:rsidR="000152E3" w:rsidRPr="000152E3">
              <w:rPr>
                <w:rFonts w:cs="Tahoma"/>
                <w:color w:val="000000"/>
                <w:cs/>
                <w:lang w:bidi="th-TH"/>
              </w:rPr>
              <w:t xml:space="preserve">หมายถึง </w:t>
            </w:r>
            <w:r w:rsidR="000152E3" w:rsidRPr="000152E3">
              <w:rPr>
                <w:rFonts w:cs="Tahoma"/>
                <w:color w:val="0000FF"/>
                <w:cs/>
                <w:lang w:bidi="th-TH"/>
              </w:rPr>
              <w:t>สถาบันการเงินที่กำหนดตามนิยามของรายการระหว่างธนาคารและตลาดเงินในการจัดทำงบการเงินของธนาคารพาณิชย์ตามที่ธนาคารแห่งประเทศไทยประกาศกำหนด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rPr>
                <w:rFonts w:cs="Tahoma"/>
              </w:rPr>
            </w:pPr>
            <w:r w:rsidRPr="009016F6">
              <w:rPr>
                <w:rFonts w:cs="Tahoma"/>
              </w:rPr>
              <w:t>Target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016F6">
              <w:rPr>
                <w:rFonts w:cs="Tahoma"/>
                <w:lang w:bidi="th-TH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  <w:cs/>
                <w:lang w:bidi="th-TH"/>
              </w:rPr>
            </w:pPr>
            <w:r>
              <w:rPr>
                <w:rFonts w:cs="Tahoma" w:hint="cs"/>
                <w:color w:val="000000"/>
                <w:u w:val="single"/>
                <w:cs/>
                <w:lang w:bidi="th-TH"/>
              </w:rPr>
              <w:t>หมายเหตุ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Change message</w:t>
            </w:r>
          </w:p>
          <w:p w:rsidR="009016F6" w:rsidRDefault="009016F6" w:rsidP="009016F6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From “</w:t>
            </w:r>
            <w:r w:rsidRPr="009016F6">
              <w:rPr>
                <w:rFonts w:cs="Tahoma"/>
                <w:color w:val="000000"/>
                <w:vertAlign w:val="superscript"/>
              </w:rPr>
              <w:t>3/</w:t>
            </w:r>
            <w:r w:rsidRPr="009016F6">
              <w:rPr>
                <w:rFonts w:cs="Tahoma"/>
                <w:color w:val="000000"/>
              </w:rPr>
              <w:t xml:space="preserve"> </w:t>
            </w:r>
            <w:r w:rsidRPr="009016F6">
              <w:rPr>
                <w:rFonts w:cs="Tahoma"/>
                <w:color w:val="000000"/>
                <w:cs/>
                <w:lang w:bidi="th-TH"/>
              </w:rPr>
              <w:t>อัตราส่วนกำไร (ขาดทุน) สุทธิ ต่อสินทรัพย์เสี่ยง</w:t>
            </w:r>
            <w:r>
              <w:rPr>
                <w:rFonts w:cs="Tahoma"/>
                <w:color w:val="000000"/>
              </w:rPr>
              <w:t>”</w:t>
            </w:r>
          </w:p>
          <w:p w:rsidR="009016F6" w:rsidRPr="009016F6" w:rsidRDefault="009016F6" w:rsidP="000152E3">
            <w:pPr>
              <w:pStyle w:val="TableText"/>
              <w:spacing w:line="360" w:lineRule="auto"/>
              <w:rPr>
                <w:rFonts w:cs="Tahoma"/>
                <w:color w:val="000000"/>
                <w:u w:val="single"/>
                <w:cs/>
                <w:lang w:bidi="th-TH"/>
              </w:rPr>
            </w:pPr>
            <w:r>
              <w:rPr>
                <w:rFonts w:cs="Tahoma"/>
                <w:color w:val="000000"/>
              </w:rPr>
              <w:t>To “</w:t>
            </w:r>
            <w:r w:rsidR="000152E3" w:rsidRPr="000152E3">
              <w:rPr>
                <w:rFonts w:cs="Tahoma"/>
                <w:color w:val="000000"/>
                <w:vertAlign w:val="superscript"/>
              </w:rPr>
              <w:t>3/</w:t>
            </w:r>
            <w:r w:rsidR="000152E3" w:rsidRPr="000152E3">
              <w:rPr>
                <w:rFonts w:cs="Tahoma"/>
                <w:color w:val="000000"/>
              </w:rPr>
              <w:t xml:space="preserve"> </w:t>
            </w:r>
            <w:r w:rsidR="000152E3" w:rsidRPr="000152E3">
              <w:rPr>
                <w:rFonts w:cs="Tahoma"/>
                <w:color w:val="000000"/>
                <w:cs/>
                <w:lang w:bidi="th-TH"/>
              </w:rPr>
              <w:t>อัตราส่วนกำไร (ขาดทุน) สุทธิ ต่อสินทรัพย์เสี่ยง</w:t>
            </w:r>
            <w:r w:rsidR="000152E3" w:rsidRPr="000152E3">
              <w:rPr>
                <w:rFonts w:cs="Tahoma"/>
                <w:color w:val="0000FF"/>
                <w:cs/>
                <w:lang w:bidi="th-TH"/>
              </w:rPr>
              <w:t>ด้านเครดิต ตลาด และมูลค่าเทียบเท่าสินทรัพย์เสี่ยงด้านปฏิบัติการ</w:t>
            </w:r>
            <w:r>
              <w:rPr>
                <w:rFonts w:cs="Tahoma"/>
                <w:color w:val="000000"/>
              </w:rPr>
              <w:t>”</w:t>
            </w:r>
          </w:p>
        </w:tc>
      </w:tr>
      <w:tr w:rsidR="009016F6" w:rsidRPr="006C5AD8" w:rsidTr="00B23E3B"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Pr="006C5AD8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3" w:type="dxa"/>
            <w:shd w:val="clear" w:color="auto" w:fill="auto"/>
          </w:tcPr>
          <w:p w:rsidR="009016F6" w:rsidRPr="006C5AD8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  <w:color w:val="000000"/>
              </w:rPr>
              <w:t>VaR Approach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016F6">
              <w:rPr>
                <w:rFonts w:cs="Tahoma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/>
              </w:rPr>
              <w:t xml:space="preserve">Add new </w:t>
            </w:r>
            <w:r w:rsidRPr="006C5AD8">
              <w:rPr>
                <w:rFonts w:cs="Tahoma"/>
                <w:lang w:bidi="th-TH"/>
              </w:rPr>
              <w:t>Classification</w:t>
            </w:r>
          </w:p>
          <w:p w:rsidR="009016F6" w:rsidRPr="001B4524" w:rsidRDefault="009016F6" w:rsidP="009016F6">
            <w:pPr>
              <w:pStyle w:val="TableText"/>
              <w:numPr>
                <w:ilvl w:val="0"/>
                <w:numId w:val="15"/>
              </w:numPr>
              <w:spacing w:line="360" w:lineRule="auto"/>
              <w:ind w:left="409"/>
              <w:rPr>
                <w:rFonts w:cs="Tahoma"/>
                <w:color w:val="000000"/>
              </w:rPr>
            </w:pPr>
            <w:r w:rsidRPr="001B4524">
              <w:rPr>
                <w:rFonts w:cs="Tahoma"/>
                <w:color w:val="0000FF"/>
              </w:rPr>
              <w:t>VaR Approach</w:t>
            </w:r>
          </w:p>
        </w:tc>
      </w:tr>
      <w:tr w:rsidR="009016F6" w:rsidRPr="006C5AD8" w:rsidTr="000152E3">
        <w:trPr>
          <w:trHeight w:val="172"/>
        </w:trPr>
        <w:tc>
          <w:tcPr>
            <w:tcW w:w="1021" w:type="dxa"/>
            <w:vMerge/>
            <w:shd w:val="clear" w:color="auto" w:fill="auto"/>
          </w:tcPr>
          <w:p w:rsidR="009016F6" w:rsidRPr="006C5AD8" w:rsidRDefault="009016F6" w:rsidP="009016F6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9016F6" w:rsidRDefault="009016F6" w:rsidP="009016F6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3" w:type="dxa"/>
            <w:shd w:val="clear" w:color="auto" w:fill="auto"/>
          </w:tcPr>
          <w:p w:rsidR="009016F6" w:rsidRPr="006C5AD8" w:rsidRDefault="009016F6" w:rsidP="009016F6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  <w:color w:val="000000"/>
              </w:rPr>
              <w:t>VaR Type</w:t>
            </w:r>
          </w:p>
        </w:tc>
        <w:tc>
          <w:tcPr>
            <w:tcW w:w="1682" w:type="dxa"/>
            <w:shd w:val="clear" w:color="auto" w:fill="auto"/>
          </w:tcPr>
          <w:p w:rsidR="009016F6" w:rsidRPr="009016F6" w:rsidRDefault="009016F6" w:rsidP="009016F6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016F6">
              <w:rPr>
                <w:rFonts w:cs="Tahoma"/>
                <w:lang w:bidi="th-TH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9016F6" w:rsidRDefault="009016F6" w:rsidP="009016F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C5AD8">
              <w:rPr>
                <w:rFonts w:cs="Tahoma"/>
                <w:color w:val="000000"/>
              </w:rPr>
              <w:t xml:space="preserve">Add new </w:t>
            </w:r>
            <w:r w:rsidRPr="006C5AD8">
              <w:rPr>
                <w:rFonts w:cs="Tahoma"/>
                <w:lang w:bidi="th-TH"/>
              </w:rPr>
              <w:t>Classification</w:t>
            </w:r>
          </w:p>
          <w:p w:rsidR="009016F6" w:rsidRPr="006C5AD8" w:rsidRDefault="009016F6" w:rsidP="009016F6">
            <w:pPr>
              <w:pStyle w:val="TableText"/>
              <w:numPr>
                <w:ilvl w:val="0"/>
                <w:numId w:val="15"/>
              </w:numPr>
              <w:spacing w:line="360" w:lineRule="auto"/>
              <w:ind w:left="409"/>
              <w:rPr>
                <w:rFonts w:cs="Tahoma"/>
                <w:b/>
                <w:bCs/>
                <w:u w:val="single"/>
                <w:lang w:bidi="th-TH"/>
              </w:rPr>
            </w:pPr>
            <w:r w:rsidRPr="001B4524">
              <w:rPr>
                <w:rFonts w:cs="Tahoma"/>
                <w:color w:val="0000FF"/>
              </w:rPr>
              <w:t>VaR Type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4ED" w:rsidRDefault="008764ED">
      <w:r>
        <w:separator/>
      </w:r>
    </w:p>
  </w:endnote>
  <w:endnote w:type="continuationSeparator" w:id="0">
    <w:p w:rsidR="008764ED" w:rsidRDefault="0087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A3F1E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A3F1E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F855C1" w:rsidRPr="00F855C1">
      <w:rPr>
        <w:rFonts w:ascii="Tahoma" w:hAnsi="Tahoma" w:cs="Tahoma"/>
        <w:sz w:val="20"/>
        <w:szCs w:val="20"/>
      </w:rPr>
      <w:t xml:space="preserve">Risk </w:t>
    </w:r>
    <w:r w:rsidR="000D1FA0">
      <w:rPr>
        <w:rFonts w:ascii="Tahoma" w:hAnsi="Tahoma" w:cs="Tahoma"/>
        <w:sz w:val="20"/>
        <w:szCs w:val="20"/>
      </w:rPr>
      <w:t xml:space="preserve"> </w:t>
    </w:r>
    <w:r w:rsidR="00F855C1" w:rsidRPr="00F855C1">
      <w:rPr>
        <w:rFonts w:ascii="Tahoma" w:hAnsi="Tahoma" w:cs="Tahoma"/>
        <w:sz w:val="20"/>
        <w:szCs w:val="20"/>
      </w:rPr>
      <w:t>Management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1B4524" w:rsidRPr="00F855C1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4ED" w:rsidRDefault="008764ED">
      <w:r>
        <w:separator/>
      </w:r>
    </w:p>
  </w:footnote>
  <w:footnote w:type="continuationSeparator" w:id="0">
    <w:p w:rsidR="008764ED" w:rsidRDefault="00876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6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e0ff0205-9775-4d11-817e-13aacec916c5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8D89474-CC42-4556-8FDB-AA8E9B3A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401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dc:description/>
  <cp:lastModifiedBy>อริศรา ธัญญธาดา</cp:lastModifiedBy>
  <cp:revision>15</cp:revision>
  <cp:lastPrinted>2019-03-22T02:55:00Z</cp:lastPrinted>
  <dcterms:created xsi:type="dcterms:W3CDTF">2019-03-11T13:39:00Z</dcterms:created>
  <dcterms:modified xsi:type="dcterms:W3CDTF">2019-03-22T03:10:00Z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